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056"/>
        <w:gridCol w:w="3024"/>
      </w:tblGrid>
      <w:tr>
        <w:tc>
          <w:tcPr>
            <w:tcW w:type="dxa" w:w="5328"/>
            <w:shd w:fill="123D59"/>
            <w:tcMar>
              <w:top w:w="170" w:type="dxa"/>
              <w:start w:w="190" w:type="dxa"/>
              <w:bottom w:w="160" w:type="dxa"/>
              <w:end w:w="190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color w:val="FFFFFF"/>
                <w:sz w:val="42"/>
              </w:rPr>
              <w:t>AMANDA J. ANDREWS</w:t>
            </w:r>
          </w:p>
          <w:p>
            <w:pPr>
              <w:spacing w:after="0"/>
            </w:pPr>
            <w:r>
              <w:rPr>
                <w:rFonts w:ascii="Aptos" w:hAnsi="Aptos"/>
                <w:b/>
                <w:color w:val="D9FBF8"/>
                <w:sz w:val="19"/>
              </w:rPr>
              <w:t>BSN, RN  |  PMHNP STUDENT</w:t>
            </w:r>
          </w:p>
        </w:tc>
        <w:tc>
          <w:tcPr>
            <w:tcW w:type="dxa" w:w="5328"/>
            <w:shd w:fill="123D59"/>
            <w:tcMar>
              <w:top w:w="170" w:type="dxa"/>
              <w:start w:w="190" w:type="dxa"/>
              <w:bottom w:w="160" w:type="dxa"/>
              <w:end w:w="190" w:type="dxa"/>
            </w:tcMar>
          </w:tcPr>
          <w:p>
            <w:pPr>
              <w:spacing w:after="0"/>
              <w:jc w:val="right"/>
            </w:pPr>
            <w:r>
              <w:rPr>
                <w:rFonts w:ascii="Aptos" w:hAnsi="Aptos"/>
                <w:b w:val="0"/>
                <w:color w:val="FFFFFF"/>
                <w:sz w:val="16"/>
              </w:rPr>
              <w:t>Peabody, Massachusetts</w:t>
            </w:r>
          </w:p>
          <w:p>
            <w:pPr>
              <w:spacing w:after="0"/>
              <w:jc w:val="right"/>
            </w:pPr>
            <w:r>
              <w:rPr>
                <w:rFonts w:ascii="Aptos" w:hAnsi="Aptos"/>
                <w:b w:val="0"/>
                <w:color w:val="FFFFFF"/>
                <w:sz w:val="16"/>
              </w:rPr>
              <w:t>amandajandrews1@gmail.com</w:t>
            </w:r>
          </w:p>
        </w:tc>
      </w:tr>
    </w:tbl>
    <w:p>
      <w:pPr>
        <w:spacing w:before="100" w:after="60"/>
        <w:jc w:val="center"/>
      </w:pPr>
      <w:r>
        <w:rPr>
          <w:rFonts w:ascii="Aptos" w:hAnsi="Aptos"/>
          <w:b/>
          <w:color w:val="167D9B"/>
          <w:sz w:val="16"/>
        </w:rPr>
        <w:t>MULTISTATE REGISTERED NURSE  •  CLINICAL REVIEW  •  CARE COORDINATION  •  TELEHEALTH</w:t>
      </w:r>
    </w:p>
    <w:p>
      <w:pPr>
        <w:keepNext/>
        <w:spacing w:before="160" w:after="60"/>
        <w:pBdr>
          <w:bottom w:val="single" w:sz="8" w:space="3" w:color="167D9B"/>
        </w:pBdr>
      </w:pPr>
      <w:r>
        <w:rPr>
          <w:rFonts w:ascii="Aptos" w:hAnsi="Aptos"/>
          <w:b/>
          <w:color w:val="167D9B"/>
          <w:sz w:val="18"/>
        </w:rPr>
        <w:t>PROFESSIONAL PROFILE</w:t>
      </w:r>
    </w:p>
    <w:p>
      <w:pPr>
        <w:spacing w:after="40" w:line="252" w:lineRule="auto"/>
      </w:pPr>
      <w:r>
        <w:rPr>
          <w:rFonts w:ascii="Aptos" w:hAnsi="Aptos"/>
          <w:b w:val="0"/>
          <w:color w:val="4D6876"/>
          <w:sz w:val="17"/>
        </w:rPr>
        <w:t>Multistate registered nurse and Psychiatric Mental Health Nurse Practitioner student with 4+ years of experience spanning inpatient rehabilitation, medical-surgical/telemetry, emergency observation, surgical step-down, neurosurgery, and inpatient psychiatry. Brings calm clinical judgment, precise documentation, and adaptable care coordination to fast-moving, interdisciplinary environments. Well prepared for remote clinical review, utilization management, telehealth, case management, and behavioral-health roles.</w:t>
      </w:r>
    </w:p>
    <w:p>
      <w:pPr>
        <w:keepNext/>
        <w:spacing w:before="160" w:after="60"/>
        <w:pBdr>
          <w:bottom w:val="single" w:sz="8" w:space="3" w:color="167D9B"/>
        </w:pBdr>
      </w:pPr>
      <w:r>
        <w:rPr>
          <w:rFonts w:ascii="Aptos" w:hAnsi="Aptos"/>
          <w:b/>
          <w:color w:val="167D9B"/>
          <w:sz w:val="18"/>
        </w:rPr>
        <w:t>LICENSURE, CERTIFICATIONS &amp; CORE CAPABILITIES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800"/>
        <w:gridCol w:w="8280"/>
      </w:tblGrid>
      <w:tr>
        <w:tc>
          <w:tcPr>
            <w:tcW w:type="dxa" w:w="5328"/>
            <w:shd w:fill="EAF8FC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r>
              <w:rPr>
                <w:rFonts w:ascii="Aptos" w:hAnsi="Aptos"/>
                <w:b/>
                <w:color w:val="167D9B"/>
                <w:sz w:val="15"/>
              </w:rPr>
              <w:t>RN LICENSES</w:t>
            </w:r>
          </w:p>
        </w:tc>
        <w:tc>
          <w:tcPr>
            <w:tcW w:type="dxa" w:w="5328"/>
            <w:tcMar>
              <w:top w:w="55" w:type="dxa"/>
              <w:start w:w="110" w:type="dxa"/>
              <w:bottom w:w="55" w:type="dxa"/>
              <w:end w:w="90" w:type="dxa"/>
            </w:tcMar>
          </w:tcPr>
          <w:p>
            <w:r>
              <w:rPr>
                <w:rFonts w:ascii="Aptos" w:hAnsi="Aptos"/>
                <w:b w:val="0"/>
                <w:color w:val="4D6876"/>
                <w:sz w:val="16"/>
              </w:rPr>
              <w:t>Massachusetts • District of Columbia • Maryland • New Hampshire • California • Florida</w:t>
            </w:r>
          </w:p>
        </w:tc>
      </w:tr>
      <w:tr>
        <w:tc>
          <w:tcPr>
            <w:tcW w:type="dxa" w:w="5328"/>
            <w:shd w:fill="EAF8FC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r>
              <w:rPr>
                <w:rFonts w:ascii="Aptos" w:hAnsi="Aptos"/>
                <w:b/>
                <w:color w:val="167D9B"/>
                <w:sz w:val="15"/>
              </w:rPr>
              <w:t>CERTIFICATIONS</w:t>
            </w:r>
          </w:p>
        </w:tc>
        <w:tc>
          <w:tcPr>
            <w:tcW w:type="dxa" w:w="5328"/>
            <w:tcMar>
              <w:top w:w="55" w:type="dxa"/>
              <w:start w:w="110" w:type="dxa"/>
              <w:bottom w:w="55" w:type="dxa"/>
              <w:end w:w="90" w:type="dxa"/>
            </w:tcMar>
          </w:tcPr>
          <w:p>
            <w:r>
              <w:rPr>
                <w:rFonts w:ascii="Aptos" w:hAnsi="Aptos"/>
                <w:b w:val="0"/>
                <w:color w:val="4D6876"/>
                <w:sz w:val="16"/>
              </w:rPr>
              <w:t>BLS • ACLS • NIH Stroke Scale (NIHSS) • AVADE Workplace Violence Prevention</w:t>
            </w:r>
          </w:p>
        </w:tc>
      </w:tr>
      <w:tr>
        <w:tc>
          <w:tcPr>
            <w:tcW w:type="dxa" w:w="5328"/>
            <w:shd w:fill="EAF8FC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r>
              <w:rPr>
                <w:rFonts w:ascii="Aptos" w:hAnsi="Aptos"/>
                <w:b/>
                <w:color w:val="167D9B"/>
                <w:sz w:val="15"/>
              </w:rPr>
              <w:t>SYSTEMS</w:t>
            </w:r>
          </w:p>
        </w:tc>
        <w:tc>
          <w:tcPr>
            <w:tcW w:type="dxa" w:w="5328"/>
            <w:tcMar>
              <w:top w:w="55" w:type="dxa"/>
              <w:start w:w="110" w:type="dxa"/>
              <w:bottom w:w="55" w:type="dxa"/>
              <w:end w:w="90" w:type="dxa"/>
            </w:tcMar>
          </w:tcPr>
          <w:p>
            <w:r>
              <w:rPr>
                <w:rFonts w:ascii="Aptos" w:hAnsi="Aptos"/>
                <w:b w:val="0"/>
                <w:color w:val="4D6876"/>
                <w:sz w:val="16"/>
              </w:rPr>
              <w:t>Epic • Oracle Health/Cerner • EHR documentation • Microsoft Teams • Zoom • Notion</w:t>
            </w:r>
          </w:p>
        </w:tc>
      </w:tr>
    </w:tbl>
    <w:p>
      <w:pPr>
        <w:keepNext/>
        <w:spacing w:before="160" w:after="60"/>
        <w:pBdr>
          <w:bottom w:val="single" w:sz="8" w:space="3" w:color="167D9B"/>
        </w:pBdr>
      </w:pPr>
      <w:r>
        <w:rPr>
          <w:rFonts w:ascii="Aptos" w:hAnsi="Aptos"/>
          <w:b/>
          <w:color w:val="167D9B"/>
          <w:sz w:val="18"/>
        </w:rPr>
        <w:t>PROFESSIONAL EXPERIENCE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280"/>
        <w:gridCol w:w="1800"/>
      </w:tblGrid>
      <w:tr>
        <w:tc>
          <w:tcPr>
            <w:tcW w:type="dxa" w:w="828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73B4E"/>
                <w:sz w:val="18"/>
              </w:rPr>
              <w:t>Agency Registered Nurse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Aya Healthcare &amp; Mass General Brigham Internal Resource Pool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Multistate</w:t>
            </w:r>
          </w:p>
        </w:tc>
        <w:tc>
          <w:tcPr>
            <w:tcW w:type="dxa" w:w="180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ptos" w:hAnsi="Aptos"/>
                <w:b/>
                <w:color w:val="167D9B"/>
                <w:sz w:val="16"/>
              </w:rPr>
              <w:t>Feb 2024–Present</w:t>
            </w:r>
          </w:p>
        </w:tc>
      </w:tr>
    </w:tbl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Deliver evidence-based care across rehabilitation, medical-surgical/telemetry, emergency observation, surgical step-down, and float settings while rapidly adapting to facility policies, documentation systems, teams, and acuity levels.</w:t>
      </w:r>
    </w:p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Coordinate with physicians, rehabilitation specialists, pharmacy, case management, and nursing teams; communicate changes in condition, discharge needs, barriers, and follow-up priorities.</w:t>
      </w:r>
    </w:p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Maintain timely EHR documentation and independently prioritize complex clinical demands with flexibility and sound judgment.</w:t>
      </w:r>
    </w:p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Assignments include Encompass Rehabilitation Hospital of Bowie, MedStar Georgetown University Hospital, Brigham and Women’s Hospital, and Salem Hospital.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280"/>
        <w:gridCol w:w="1800"/>
      </w:tblGrid>
      <w:tr>
        <w:tc>
          <w:tcPr>
            <w:tcW w:type="dxa" w:w="828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73B4E"/>
                <w:sz w:val="18"/>
              </w:rPr>
              <w:t>Agency Registered Nurse – Neurosurgery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Swedish Cherry Hill Medical Center / Aya Healthcare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Seattle, WA</w:t>
            </w:r>
          </w:p>
        </w:tc>
        <w:tc>
          <w:tcPr>
            <w:tcW w:type="dxa" w:w="180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ptos" w:hAnsi="Aptos"/>
                <w:b/>
                <w:color w:val="167D9B"/>
                <w:sz w:val="16"/>
              </w:rPr>
              <w:t>Sep–Dec 2023</w:t>
            </w:r>
          </w:p>
        </w:tc>
      </w:tr>
    </w:tbl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Managed complex neurological and postoperative care, monitored clinical changes, reinforced patient education, and collaborated across disciplines during a 13-week travel assignment.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280"/>
        <w:gridCol w:w="1800"/>
      </w:tblGrid>
      <w:tr>
        <w:tc>
          <w:tcPr>
            <w:tcW w:type="dxa" w:w="828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73B4E"/>
                <w:sz w:val="18"/>
              </w:rPr>
              <w:t>Inpatient Psychiatry Registered Nurse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Beth Israel Deaconess Medical Center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Boston, MA</w:t>
            </w:r>
          </w:p>
        </w:tc>
        <w:tc>
          <w:tcPr>
            <w:tcW w:type="dxa" w:w="180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ptos" w:hAnsi="Aptos"/>
                <w:b/>
                <w:color w:val="167D9B"/>
                <w:sz w:val="16"/>
              </w:rPr>
              <w:t>Feb–Sep 2023</w:t>
            </w:r>
          </w:p>
        </w:tc>
      </w:tr>
    </w:tbl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Provided compassionate, trauma-informed care to diverse behavioral-health populations; advocated for patient rights, safety, treatment needs, and continuity of care.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280"/>
        <w:gridCol w:w="1800"/>
      </w:tblGrid>
      <w:tr>
        <w:tc>
          <w:tcPr>
            <w:tcW w:type="dxa" w:w="828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73B4E"/>
                <w:sz w:val="18"/>
              </w:rPr>
              <w:t>Neuro-Medical Surgical/Telemetry Registered Nurse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Beth Israel Deaconess Medical Center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Boston, MA</w:t>
            </w:r>
          </w:p>
        </w:tc>
        <w:tc>
          <w:tcPr>
            <w:tcW w:type="dxa" w:w="180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ptos" w:hAnsi="Aptos"/>
                <w:b/>
                <w:color w:val="167D9B"/>
                <w:sz w:val="16"/>
              </w:rPr>
              <w:t>Jan 2022–Sep 2023</w:t>
            </w:r>
          </w:p>
        </w:tc>
      </w:tr>
    </w:tbl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Delivered equitable, standards-based care; assessed changes, coordinated interventions, educated patients and families, and mentored or precepted new nurses.</w:t>
      </w:r>
    </w:p>
    <w:p>
      <w:pPr>
        <w:sectPr>
          <w:footerReference w:type="default" r:id="rId10"/>
          <w:pgSz w:w="12240" w:h="15840"/>
          <w:pgMar w:top="605" w:right="792" w:bottom="605" w:left="792" w:header="288" w:footer="288" w:gutter="0"/>
          <w:cols w:space="720"/>
          <w:docGrid w:linePitch="360"/>
        </w:sectPr>
      </w:pPr>
    </w:p>
    <w:p>
      <w:pPr>
        <w:spacing w:after="20"/>
      </w:pPr>
      <w:r>
        <w:rPr>
          <w:rFonts w:ascii="Aptos" w:hAnsi="Aptos"/>
          <w:b/>
          <w:color w:val="173B4E"/>
          <w:sz w:val="28"/>
        </w:rPr>
        <w:t>AMANDA J. ANDREWS</w:t>
      </w:r>
      <w:r>
        <w:rPr>
          <w:rFonts w:ascii="Aptos" w:hAnsi="Aptos"/>
          <w:b/>
          <w:color w:val="167D9B"/>
          <w:sz w:val="17"/>
        </w:rPr>
        <w:t xml:space="preserve">  |  PROFESSIONAL EXPERIENCE &amp; EDUCATION</w:t>
      </w:r>
    </w:p>
    <w:p>
      <w:pPr>
        <w:keepNext/>
        <w:spacing w:before="160" w:after="60"/>
        <w:pBdr>
          <w:bottom w:val="single" w:sz="8" w:space="3" w:color="167D9B"/>
        </w:pBdr>
      </w:pPr>
      <w:r>
        <w:rPr>
          <w:rFonts w:ascii="Aptos" w:hAnsi="Aptos"/>
          <w:b/>
          <w:color w:val="167D9B"/>
          <w:sz w:val="18"/>
        </w:rPr>
        <w:t>DIGITAL PRODUCT, BRAND &amp; ENTREPRENEURIAL EXPERIENCE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280"/>
        <w:gridCol w:w="1800"/>
      </w:tblGrid>
      <w:tr>
        <w:tc>
          <w:tcPr>
            <w:tcW w:type="dxa" w:w="828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73B4E"/>
                <w:sz w:val="18"/>
              </w:rPr>
              <w:t>Founder &amp; Product Development Lead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Datecinity – Independent Dating App Venture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Remote</w:t>
            </w:r>
          </w:p>
        </w:tc>
        <w:tc>
          <w:tcPr>
            <w:tcW w:type="dxa" w:w="180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ptos" w:hAnsi="Aptos"/>
                <w:b/>
                <w:color w:val="167D9B"/>
                <w:sz w:val="16"/>
              </w:rPr>
              <w:t>Current</w:t>
            </w:r>
          </w:p>
        </w:tc>
      </w:tr>
    </w:tbl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Translate user needs into product requirements, feature priorities, workflows, brand positioning, and web/app experience concepts.</w:t>
      </w:r>
    </w:p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Coordinate research, project documentation, timelines, feedback, and distributed collaboration using Notion, Zoom, Teams, Excel, and PowerPoint.</w:t>
      </w:r>
    </w:p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Apply user-centered problem solving, web development/design principles, competitive research, and go-to-market thinking.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280"/>
        <w:gridCol w:w="1800"/>
      </w:tblGrid>
      <w:tr>
        <w:tc>
          <w:tcPr>
            <w:tcW w:type="dxa" w:w="828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73B4E"/>
                <w:sz w:val="18"/>
              </w:rPr>
              <w:t>Personal Brand &amp; Social Media Marketing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Independent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Remote</w:t>
            </w:r>
          </w:p>
        </w:tc>
        <w:tc>
          <w:tcPr>
            <w:tcW w:type="dxa" w:w="180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ptos" w:hAnsi="Aptos"/>
                <w:b/>
                <w:color w:val="167D9B"/>
                <w:sz w:val="16"/>
              </w:rPr>
              <w:t>Current</w:t>
            </w:r>
          </w:p>
        </w:tc>
      </w:tr>
    </w:tbl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Develop brand positioning, content themes, audience strategy, and campaign concepts; use Meta Ads Suite and platform analytics to inform iteration.</w:t>
      </w:r>
    </w:p>
    <w:p>
      <w:pPr>
        <w:keepNext/>
        <w:spacing w:before="160" w:after="60"/>
        <w:pBdr>
          <w:bottom w:val="single" w:sz="8" w:space="3" w:color="167D9B"/>
        </w:pBdr>
      </w:pPr>
      <w:r>
        <w:rPr>
          <w:rFonts w:ascii="Aptos" w:hAnsi="Aptos"/>
          <w:b/>
          <w:color w:val="167D9B"/>
          <w:sz w:val="18"/>
        </w:rPr>
        <w:t>EDUCATION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280"/>
        <w:gridCol w:w="1800"/>
      </w:tblGrid>
      <w:tr>
        <w:tc>
          <w:tcPr>
            <w:tcW w:type="dxa" w:w="828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73B4E"/>
                <w:sz w:val="18"/>
              </w:rPr>
              <w:t>Master of Science – Psychiatric Mental Health Nurse Practitioner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Rivier University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Nashua, NH</w:t>
            </w:r>
          </w:p>
        </w:tc>
        <w:tc>
          <w:tcPr>
            <w:tcW w:type="dxa" w:w="180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ptos" w:hAnsi="Aptos"/>
                <w:b/>
                <w:color w:val="167D9B"/>
                <w:sz w:val="16"/>
              </w:rPr>
              <w:t>Sep 2025–Present</w:t>
            </w:r>
          </w:p>
        </w:tc>
      </w:tr>
    </w:tbl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Advanced study in psychiatric assessment, evidence-based practice, and whole-person behavioral-health care.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280"/>
        <w:gridCol w:w="1800"/>
      </w:tblGrid>
      <w:tr>
        <w:tc>
          <w:tcPr>
            <w:tcW w:type="dxa" w:w="828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color w:val="173B4E"/>
                <w:sz w:val="18"/>
              </w:rPr>
              <w:t>Bachelor of Science in Nursing, Minor in Psychology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University of Massachusetts Lowell</w:t>
            </w:r>
            <w:r>
              <w:rPr>
                <w:rFonts w:ascii="Aptos" w:hAnsi="Aptos"/>
                <w:b w:val="0"/>
                <w:color w:val="4D6876"/>
                <w:sz w:val="17"/>
              </w:rPr>
              <w:t xml:space="preserve">  |  Lowell, MA</w:t>
            </w:r>
          </w:p>
        </w:tc>
        <w:tc>
          <w:tcPr>
            <w:tcW w:type="dxa" w:w="1800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rFonts w:ascii="Aptos" w:hAnsi="Aptos"/>
                <w:b/>
                <w:color w:val="167D9B"/>
                <w:sz w:val="16"/>
              </w:rPr>
              <w:t>Dec 2021</w:t>
            </w:r>
          </w:p>
        </w:tc>
      </w:tr>
    </w:tbl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Graduated magna cum laude.</w:t>
      </w:r>
    </w:p>
    <w:p>
      <w:pPr>
        <w:keepNext/>
        <w:spacing w:before="160" w:after="60"/>
        <w:pBdr>
          <w:bottom w:val="single" w:sz="8" w:space="3" w:color="167D9B"/>
        </w:pBdr>
      </w:pPr>
      <w:r>
        <w:rPr>
          <w:rFonts w:ascii="Aptos" w:hAnsi="Aptos"/>
          <w:b/>
          <w:color w:val="167D9B"/>
          <w:sz w:val="18"/>
        </w:rPr>
        <w:t>TECHNICAL &amp; REMOTE-READY SKILLS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60"/>
        <w:gridCol w:w="7848"/>
      </w:tblGrid>
      <w:tr>
        <w:tc>
          <w:tcPr>
            <w:tcW w:type="dxa" w:w="5256"/>
            <w:shd w:fill="EAF8FC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Aptos" w:hAnsi="Aptos"/>
                <w:b/>
                <w:color w:val="167D9B"/>
                <w:sz w:val="15"/>
              </w:rPr>
              <w:t>CLINICAL</w:t>
            </w:r>
          </w:p>
        </w:tc>
        <w:tc>
          <w:tcPr>
            <w:tcW w:type="dxa" w:w="5256"/>
            <w:tcMar>
              <w:top w:w="70" w:type="dxa"/>
              <w:start w:w="110" w:type="dxa"/>
              <w:bottom w:w="70" w:type="dxa"/>
              <w:end w:w="90" w:type="dxa"/>
            </w:tcMar>
          </w:tcPr>
          <w:p>
            <w:r>
              <w:rPr>
                <w:rFonts w:ascii="Aptos" w:hAnsi="Aptos"/>
                <w:b w:val="0"/>
                <w:color w:val="4D6876"/>
                <w:sz w:val="16"/>
              </w:rPr>
              <w:t>Chart review • care coordination • transitions of care • patient education • behavioral health • telemetry • observation care</w:t>
            </w:r>
          </w:p>
        </w:tc>
      </w:tr>
      <w:tr>
        <w:tc>
          <w:tcPr>
            <w:tcW w:type="dxa" w:w="5256"/>
            <w:shd w:fill="EAF8FC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Aptos" w:hAnsi="Aptos"/>
                <w:b/>
                <w:color w:val="167D9B"/>
                <w:sz w:val="15"/>
              </w:rPr>
              <w:t>TECHNOLOGY</w:t>
            </w:r>
          </w:p>
        </w:tc>
        <w:tc>
          <w:tcPr>
            <w:tcW w:type="dxa" w:w="5256"/>
            <w:tcMar>
              <w:top w:w="70" w:type="dxa"/>
              <w:start w:w="110" w:type="dxa"/>
              <w:bottom w:w="70" w:type="dxa"/>
              <w:end w:w="90" w:type="dxa"/>
            </w:tcMar>
          </w:tcPr>
          <w:p>
            <w:r>
              <w:rPr>
                <w:rFonts w:ascii="Aptos" w:hAnsi="Aptos"/>
                <w:b w:val="0"/>
                <w:color w:val="4D6876"/>
                <w:sz w:val="16"/>
              </w:rPr>
              <w:t>Epic • Oracle Health/Cerner • EHR documentation • Excel • PowerPoint • Meta Ads Suite</w:t>
            </w:r>
          </w:p>
        </w:tc>
      </w:tr>
      <w:tr>
        <w:tc>
          <w:tcPr>
            <w:tcW w:type="dxa" w:w="5256"/>
            <w:shd w:fill="EAF8FC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Aptos" w:hAnsi="Aptos"/>
                <w:b/>
                <w:color w:val="167D9B"/>
                <w:sz w:val="15"/>
              </w:rPr>
              <w:t>COLLABORATION</w:t>
            </w:r>
          </w:p>
        </w:tc>
        <w:tc>
          <w:tcPr>
            <w:tcW w:type="dxa" w:w="5256"/>
            <w:tcMar>
              <w:top w:w="70" w:type="dxa"/>
              <w:start w:w="110" w:type="dxa"/>
              <w:bottom w:w="70" w:type="dxa"/>
              <w:end w:w="90" w:type="dxa"/>
            </w:tcMar>
          </w:tcPr>
          <w:p>
            <w:r>
              <w:rPr>
                <w:rFonts w:ascii="Aptos" w:hAnsi="Aptos"/>
                <w:b w:val="0"/>
                <w:color w:val="4D6876"/>
                <w:sz w:val="16"/>
              </w:rPr>
              <w:t>Microsoft Teams • Zoom • Notion • interdisciplinary communication • independent prioritization • rapid workflow adoption</w:t>
            </w:r>
          </w:p>
        </w:tc>
      </w:tr>
      <w:tr>
        <w:tc>
          <w:tcPr>
            <w:tcW w:type="dxa" w:w="5256"/>
            <w:shd w:fill="EAF8FC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Aptos" w:hAnsi="Aptos"/>
                <w:b/>
                <w:color w:val="167D9B"/>
                <w:sz w:val="15"/>
              </w:rPr>
              <w:t>BUSINESS</w:t>
            </w:r>
          </w:p>
        </w:tc>
        <w:tc>
          <w:tcPr>
            <w:tcW w:type="dxa" w:w="5256"/>
            <w:tcMar>
              <w:top w:w="70" w:type="dxa"/>
              <w:start w:w="110" w:type="dxa"/>
              <w:bottom w:w="70" w:type="dxa"/>
              <w:end w:w="90" w:type="dxa"/>
            </w:tcMar>
          </w:tcPr>
          <w:p>
            <w:r>
              <w:rPr>
                <w:rFonts w:ascii="Aptos" w:hAnsi="Aptos"/>
                <w:b w:val="0"/>
                <w:color w:val="4D6876"/>
                <w:sz w:val="16"/>
              </w:rPr>
              <w:t>Digital product planning • social-media strategy • web development/design • competitive research • brand positioning</w:t>
            </w:r>
          </w:p>
        </w:tc>
      </w:tr>
    </w:tbl>
    <w:p>
      <w:pPr>
        <w:keepNext/>
        <w:spacing w:before="160" w:after="60"/>
        <w:pBdr>
          <w:bottom w:val="single" w:sz="8" w:space="3" w:color="167D9B"/>
        </w:pBdr>
      </w:pPr>
      <w:r>
        <w:rPr>
          <w:rFonts w:ascii="Aptos" w:hAnsi="Aptos"/>
          <w:b/>
          <w:color w:val="167D9B"/>
          <w:sz w:val="18"/>
        </w:rPr>
        <w:t>LEADERSHIP &amp; ATHLETICS</w:t>
      </w:r>
    </w:p>
    <w:p>
      <w:pPr>
        <w:spacing w:after="40"/>
      </w:pPr>
      <w:r>
        <w:rPr>
          <w:rFonts w:ascii="Aptos" w:hAnsi="Aptos"/>
          <w:b/>
          <w:color w:val="173B4E"/>
          <w:sz w:val="18"/>
        </w:rPr>
        <w:t>NCAA Division I Track &amp; Field Athlete, University of Massachusetts Lowell</w:t>
      </w:r>
    </w:p>
    <w:p>
      <w:pPr>
        <w:pStyle w:val="ListBullet"/>
        <w:spacing w:after="30" w:line="245" w:lineRule="auto"/>
        <w:ind w:left="259" w:hanging="202"/>
      </w:pPr>
      <w:r>
        <w:rPr>
          <w:rFonts w:ascii="Aptos" w:hAnsi="Aptos"/>
          <w:b w:val="0"/>
          <w:color w:val="4D6876"/>
          <w:sz w:val="17"/>
        </w:rPr>
        <w:t>Developed discipline, resilience, time management, coachability, team accountability, and composure in demanding, high-pressure environments.</w:t>
      </w:r>
    </w:p>
    <w:p>
      <w:pPr>
        <w:keepNext/>
        <w:spacing w:before="160" w:after="60"/>
        <w:pBdr>
          <w:bottom w:val="single" w:sz="8" w:space="3" w:color="167D9B"/>
        </w:pBdr>
      </w:pPr>
      <w:r>
        <w:rPr>
          <w:rFonts w:ascii="Aptos" w:hAnsi="Aptos"/>
          <w:b/>
          <w:color w:val="167D9B"/>
          <w:sz w:val="18"/>
        </w:rPr>
        <w:t>PROFESSIONAL INTERESTS</w:t>
      </w:r>
    </w:p>
    <w:p>
      <w:pPr>
        <w:spacing w:after="40"/>
      </w:pPr>
      <w:r>
        <w:rPr>
          <w:rFonts w:ascii="Aptos" w:hAnsi="Aptos"/>
          <w:b w:val="0"/>
          <w:color w:val="4D6876"/>
          <w:sz w:val="17"/>
        </w:rPr>
        <w:t>Utilization Management RN • Clinical Review RN • Care Manager RN • Telehealth/Triage RN • Prior Authorization RN • Appeals &amp; Grievances RN • Behavioral Health Care Manager • HEDIS/Chart Review RN</w:t>
      </w:r>
    </w:p>
    <w:sectPr w:rsidR="00FC693F" w:rsidRPr="0006063C" w:rsidSect="00034616">
      <w:footerReference w:type="default" r:id="rId9"/>
      <w:pgSz w:w="12240" w:h="15840"/>
      <w:pgMar w:top="720" w:right="864" w:bottom="720" w:left="864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4D6876"/>
        <w:sz w:val="15"/>
      </w:rPr>
      <w:t>Amanda J. Andrews  •  BSN, RN  •  amandajandrews1@gmail.com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4D6876"/>
        <w:sz w:val="15"/>
      </w:rPr>
      <w:t>Amanda J. Andrews  •  BSN, RN  •  amandajandrews1@gmail.com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Amanda J. Andrews – Professional Résumé</dc:title>
  <dc:subject>Multistate Registered Nurse and PMHNP Student</dc:subject>
  <dc:creator>Amanda J. Andrews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